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006744"/>
          <w:sz w:val="40"/>
          <w:szCs w:val="40"/>
        </w:rPr>
      </w:pPr>
      <w:r>
        <w:rPr>
          <w:rFonts w:ascii="pointy" w:hAnsi="pointy" w:cs="pointy"/>
          <w:color w:val="006744"/>
          <w:sz w:val="40"/>
          <w:szCs w:val="40"/>
        </w:rPr>
        <w:t>Dal documento “Dal laboratorio di italiano L2 alla classe</w:t>
      </w:r>
      <w:r w:rsidR="00A148FF">
        <w:rPr>
          <w:rFonts w:ascii="pointy" w:hAnsi="pointy" w:cs="pointy"/>
          <w:color w:val="006744"/>
          <w:sz w:val="40"/>
          <w:szCs w:val="40"/>
        </w:rPr>
        <w:t>”</w:t>
      </w:r>
    </w:p>
    <w:p w:rsidR="007A6342" w:rsidRPr="00A148FF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006744"/>
          <w:sz w:val="48"/>
          <w:szCs w:val="48"/>
        </w:rPr>
      </w:pPr>
      <w:r>
        <w:rPr>
          <w:rFonts w:ascii="pointy" w:hAnsi="pointy" w:cs="pointy"/>
          <w:color w:val="006744"/>
          <w:sz w:val="40"/>
          <w:szCs w:val="40"/>
        </w:rPr>
        <w:t xml:space="preserve"> </w:t>
      </w:r>
      <w:r w:rsidRPr="00A148FF">
        <w:rPr>
          <w:rFonts w:ascii="pointy" w:hAnsi="pointy" w:cs="pointy"/>
          <w:color w:val="006744"/>
          <w:sz w:val="48"/>
          <w:szCs w:val="48"/>
        </w:rPr>
        <w:t>BIOGRAFIA STUDENTE</w:t>
      </w:r>
    </w:p>
    <w:p w:rsidR="00A148FF" w:rsidRDefault="00A148FF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006744"/>
          <w:sz w:val="40"/>
          <w:szCs w:val="40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006744"/>
          <w:sz w:val="40"/>
          <w:szCs w:val="40"/>
        </w:rPr>
      </w:pPr>
      <w:bookmarkStart w:id="0" w:name="_GoBack"/>
      <w:bookmarkEnd w:id="0"/>
      <w:r>
        <w:rPr>
          <w:rFonts w:ascii="pointy" w:hAnsi="pointy" w:cs="pointy"/>
          <w:color w:val="006744"/>
          <w:sz w:val="40"/>
          <w:szCs w:val="40"/>
        </w:rPr>
        <w:t>1. PRIMA DI COMINCIARE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8"/>
          <w:szCs w:val="28"/>
        </w:rPr>
      </w:pPr>
      <w:r>
        <w:rPr>
          <w:rFonts w:ascii="MyriadPro-BoldIt" w:hAnsi="MyriadPro-BoldIt" w:cs="MyriadPro-BoldIt"/>
          <w:b/>
          <w:bCs/>
          <w:i/>
          <w:iCs/>
          <w:color w:val="000000"/>
          <w:sz w:val="28"/>
          <w:szCs w:val="28"/>
        </w:rPr>
        <w:t>Chi sono i miei studenti? La biografia linguistica e scolastica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3"/>
          <w:szCs w:val="23"/>
        </w:rPr>
      </w:pPr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La traccia per la rilevazione della biografia linguistica e scolastica che viene proposta di seguito è uno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3"/>
          <w:szCs w:val="23"/>
        </w:rPr>
      </w:pPr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strumento essenziale per la realizzazione di efficaci percorsi di accoglienza e integrazione, oltre che punto di partenza per la compilazione del </w:t>
      </w:r>
      <w:proofErr w:type="spellStart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PdP</w:t>
      </w:r>
      <w:proofErr w:type="spellEnd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. Ha lo scopo di ricordarci che essa non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è </w:t>
      </w:r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un mero adempimento burocratico, tutt’altro è il punto di partenza per l’apertura di un dialogo di conoscenza reciproca con gli alunni che hanno una storia di migrazione e con le loro famiglie. La biografia non serve solo per decidere in quale classe inserire gli studenti </w:t>
      </w:r>
      <w:proofErr w:type="gramStart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neo-arrivati</w:t>
      </w:r>
      <w:proofErr w:type="gramEnd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, ma è un materiale da usare e </w:t>
      </w:r>
      <w:proofErr w:type="spellStart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ri</w:t>
      </w:r>
      <w:proofErr w:type="spellEnd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-usare con tutti i genitori (e gli studenti), anche con chi è in Italia da tanto tempo o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è </w:t>
      </w:r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nato qui. Va compilata gradualmente e ripresa in momenti successivi, per integrarla, precisarla, condividerla. Quando è compilata con cura e attenzione mette l’insegnante che la redige nelle condizioni di imparare qualcosa di più, di maturare nuove consapevolezze e specifiche attenzioni, a partire da un autentico desiderio di conoscere e di entrare in relazione coi propri allievi.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3"/>
          <w:szCs w:val="23"/>
        </w:rPr>
      </w:pPr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La biografia qui proposta è una versione riadattata del materiale prodotto da Maria </w:t>
      </w:r>
      <w:proofErr w:type="spellStart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Arici</w:t>
      </w:r>
      <w:proofErr w:type="spellEnd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 e raccolto nel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3"/>
          <w:szCs w:val="23"/>
        </w:rPr>
      </w:pPr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fascicolo “Integrazione”, consultabile sul portale </w:t>
      </w:r>
      <w:proofErr w:type="spellStart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>Vivoscuola</w:t>
      </w:r>
      <w:proofErr w:type="spellEnd"/>
      <w:r>
        <w:rPr>
          <w:rFonts w:ascii="MyriadPro-It" w:hAnsi="MyriadPro-It" w:cs="MyriadPro-It"/>
          <w:i/>
          <w:iCs/>
          <w:color w:val="000000"/>
          <w:sz w:val="23"/>
          <w:szCs w:val="23"/>
        </w:rPr>
        <w:t xml:space="preserve"> della Provincia Autonoma di Trento.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proofErr w:type="spellStart"/>
      <w:r>
        <w:rPr>
          <w:rFonts w:ascii="MyriadPro-Regular" w:hAnsi="MyriadPro-Regular" w:cs="MyriadPro-Regular"/>
          <w:color w:val="000000"/>
          <w:sz w:val="23"/>
          <w:szCs w:val="23"/>
        </w:rPr>
        <w:t>a.s.</w:t>
      </w:r>
      <w:proofErr w:type="spell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Cognome: Nome: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Istituto: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Scuola: Classe: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Data di compilazione: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Successivi aggiornamenti: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FFFFFF"/>
          <w:sz w:val="30"/>
          <w:szCs w:val="30"/>
        </w:rPr>
      </w:pPr>
      <w:r>
        <w:rPr>
          <w:rFonts w:ascii="pointy" w:hAnsi="pointy" w:cs="pointy"/>
          <w:color w:val="FFFFFF"/>
          <w:sz w:val="30"/>
          <w:szCs w:val="30"/>
        </w:rPr>
        <w:t>10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Biografia personale e familiare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Data di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nascita:_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Paese di Provenienza: _ 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Mese e anno di arrivo in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Italia:_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Data di iscrizione alla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scuola:_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Lo studente è: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immigrato con la famiglia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ricongiunto a famiglia immigrata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immigrato da solo (“minore non accompagnato”)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nato in Italia da famiglia immigrata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figlio di coppia mista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giunto per adozione internazionale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□</w:t>
      </w:r>
      <w:proofErr w:type="spellStart"/>
      <w:r>
        <w:rPr>
          <w:rFonts w:ascii="MyriadPro-Regular" w:hAnsi="MyriadPro-Regular" w:cs="MyriadPro-Regular"/>
          <w:color w:val="000000"/>
          <w:sz w:val="23"/>
          <w:szCs w:val="23"/>
        </w:rPr>
        <w:t>sinto</w:t>
      </w:r>
      <w:proofErr w:type="spell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o rom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altro (specificare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):_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Titolo di studio dei genitori: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padre: 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madre: 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Professione dei genitori: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padre: 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lastRenderedPageBreak/>
        <w:t xml:space="preserve">-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madre:_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Livello di conoscenza della lingua italiana da parte dei genitori: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padre:_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madre: 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è necessario un mediatore per comunicare con la famiglia?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Progetto migratorio della famiglia: 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Se oltre ai genitori vivono altre persone con lo studente, indicare il numero di: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fratelli / sorelle: nonni / nonne: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altri parenti: altre persone: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A casa, lo studente dispone di un luogo idoneo per studiare?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Qualcuno lo aiuta nei compiti scolastici?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Se sì, specificare _ 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Quali attività extrascolastiche ludico-sportive, musicali, di gruppo, ecc.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pratica?_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Ulteriori note 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FFFFFF"/>
          <w:sz w:val="30"/>
          <w:szCs w:val="30"/>
        </w:rPr>
      </w:pPr>
      <w:r>
        <w:rPr>
          <w:rFonts w:ascii="pointy" w:hAnsi="pointy" w:cs="pointy"/>
          <w:color w:val="FFFFFF"/>
          <w:sz w:val="30"/>
          <w:szCs w:val="30"/>
        </w:rPr>
        <w:t>11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Biografia scolastica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All’estero, numero di anni, ordini e gradi di scuola frequentati: 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In Italia</w:t>
      </w:r>
      <w:r>
        <w:rPr>
          <w:rFonts w:ascii="MyriadPro-Bold" w:hAnsi="MyriadPro-Bold" w:cs="MyriadPro-Bold"/>
          <w:b/>
          <w:bCs/>
          <w:color w:val="000000"/>
          <w:sz w:val="23"/>
          <w:szCs w:val="23"/>
        </w:rPr>
        <w:t>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data e località della prima iscrizione in una scuola italiana, ordine, grado e classe a cui è stato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iscritto: _ 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scuole (indicare località, ordine e grado) e classi successivamente frequentate: 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C’è corrispondenza tra età anagrafica e classe frequentata?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Se no: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Lo studente frequenta una classe: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superiore rispetto all’età anagrafica -&gt; di quanti anni è superiore |___|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inferiore rispetto all’età anagrafica -&gt; di quanti anni è inferiore |___|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L’eventuale ritardo scolastico è dovuto a: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bocciature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prima iscrizione in Italia a una classe inferiore all’età anagrafica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ingresso nel sistema scolastico estero in età diversa da quella prevista in Italia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interruzione degli studi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- </w:t>
      </w:r>
      <w:r>
        <w:rPr>
          <w:rFonts w:ascii="MyriadPro-Regular" w:hAnsi="MyriadPro-Regular" w:cs="MyriadPro-Regular"/>
          <w:color w:val="000000"/>
          <w:sz w:val="23"/>
          <w:szCs w:val="23"/>
        </w:rPr>
        <w:t>altro (specificare)________________________________________________________________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Nel caso lo studente sia incorso in bocciature, indicarne il numero nei rispettivi ordini: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▪ </w:t>
      </w:r>
      <w:r>
        <w:rPr>
          <w:rFonts w:ascii="MyriadPro-Regular" w:hAnsi="MyriadPro-Regular" w:cs="MyriadPro-Regular"/>
          <w:color w:val="000000"/>
          <w:sz w:val="23"/>
          <w:szCs w:val="23"/>
        </w:rPr>
        <w:t>primaria -&gt; numero bocciature |___|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▪ </w:t>
      </w:r>
      <w:r>
        <w:rPr>
          <w:rFonts w:ascii="MyriadPro-Regular" w:hAnsi="MyriadPro-Regular" w:cs="MyriadPro-Regular"/>
          <w:color w:val="000000"/>
          <w:sz w:val="23"/>
          <w:szCs w:val="23"/>
        </w:rPr>
        <w:t>secondaria di primo grado -&gt; numero bocciature |___|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Lo studente si avvale dell’insegnamento della religione cattolica?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Lo studente è seguito da qualche specialista (es: logopedista, psicologo, ecc.)?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(specificare) 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Lo studente è seguito dal Servizio Sociale?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FFFFFF"/>
          <w:sz w:val="30"/>
          <w:szCs w:val="30"/>
        </w:rPr>
      </w:pPr>
      <w:r>
        <w:rPr>
          <w:rFonts w:ascii="pointy" w:hAnsi="pointy" w:cs="pointy"/>
          <w:color w:val="FFFFFF"/>
          <w:sz w:val="30"/>
          <w:szCs w:val="30"/>
        </w:rPr>
        <w:lastRenderedPageBreak/>
        <w:t>12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Biografia linguistica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Lingua d’origine: _ 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Conoscenza: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orale; sia orale che scritta, solo comprensione; sia comprensione che produzione.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Lingua usata in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famiglia:_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Lingua/e principale/i di scolarizzazione nel Paese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d’origine:_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(se diversa/e dalla lingua d’origine)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Conoscenza: orale, sia orale che scritta.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Altre lingue straniere acquisite/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apprese:_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Alfabeti conosciuti: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Alfabeto latino (spagnolo, albanese, rumeno, ecc.):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Altri alfabeti e scritture (ideogrammi cinesi, caratteri cirillici, arabo, urdu, ecc.):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Lo studente frequenta corsi di mantenimento/sviluppo della lingua d’origine?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Specificare ente organizzatore, sede, ecc.: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A che età lo studente è venuto a contatto con la lingua italiana e in che contesto?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Frequenta attualmente corsi extrascolastici di italiano come L2?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Specificare ente organizzatore, sede,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ecc.:_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pointy" w:cs="ZapfDingbatsITC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Ha occasioni di contatto con parlanti italiani al di fuori dell’ambito scolastico?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Sì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No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Specificare tipo di contatti, ambito, frequenza, ecc.: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yriadPro-Regular" w:hAnsi="MyriadPro-Regular" w:cs="MyriadPro-Regular"/>
          <w:color w:val="000000"/>
          <w:sz w:val="23"/>
          <w:szCs w:val="23"/>
        </w:rPr>
        <w:t>__________________________________________________________________________________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pointy" w:hAnsi="pointy" w:cs="pointy"/>
          <w:color w:val="FFFFFF"/>
          <w:sz w:val="30"/>
          <w:szCs w:val="30"/>
        </w:rPr>
      </w:pPr>
      <w:r>
        <w:rPr>
          <w:rFonts w:ascii="pointy" w:hAnsi="pointy" w:cs="pointy"/>
          <w:color w:val="FFFFFF"/>
          <w:sz w:val="30"/>
          <w:szCs w:val="30"/>
        </w:rPr>
        <w:t>13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Situazione relazionale, affettiva e motivazionale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  <w:r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  <w:t>Relazione con pari e adulti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È ben inserito e accettato negli scambi con i pari.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Talvolta è isolato.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Ha un numero ridotto di scambi con i pari e di scelte da parte dei compagni.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Si relaziona esclusivamente con pari di madrelingua non italiana.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Si riscontra un isolamento relazionale dovuto a: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autoesclusione;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clima della classe di non accettazione e di chiusura;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❏</w:t>
      </w:r>
      <w:r>
        <w:rPr>
          <w:rFonts w:ascii="ZapfDingbatsITC" w:eastAsia="ZapfDingbatsITC" w:hAnsi="pointy" w:cs="ZapfDingbatsITC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3"/>
          <w:szCs w:val="23"/>
        </w:rPr>
        <w:t>…………………………………….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Ha frequenti relazioni con i pari nel tempo extrascolastico.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Ha scarsi scambi e relazioni con i pari nel tempo extrascolastico.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Non ha scambi e relazioni con i pari nel tempo extrascolastico.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Nel tempo extrascolastico intrattiene relazioni solo con pari di madrelingua non italiana.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Manifesta un atteggiamento di fiducia nei confronti degli adulti.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Si rivolge all’adulto solo in alcune occasioni.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Si rivolge solo ad alcuni adulti.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Non si rivolge mai all’adulto.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Si relaziona con i pari e/o con gli adulti, anche ricorrendo a linguaggi non verbali.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  <w:r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  <w:t xml:space="preserve">Fiducia in </w:t>
      </w:r>
      <w:proofErr w:type="gramStart"/>
      <w:r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  <w:t>se</w:t>
      </w:r>
      <w:proofErr w:type="gramEnd"/>
      <w:r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  <w:t xml:space="preserve"> stesso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Mostra fiducia in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se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stesso e senso di responsabilità.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Richiede e richiama l’attenzione.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Chiede spiegazioni, esprime dubbi e richieste.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Raramente sollecita attenzione e aiuto.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Alterna momenti di fiducia in </w:t>
      </w:r>
      <w:proofErr w:type="gramStart"/>
      <w:r>
        <w:rPr>
          <w:rFonts w:ascii="MyriadPro-Regular" w:hAnsi="MyriadPro-Regular" w:cs="MyriadPro-Regular"/>
          <w:color w:val="000000"/>
          <w:sz w:val="23"/>
          <w:szCs w:val="23"/>
        </w:rPr>
        <w:t>se</w:t>
      </w:r>
      <w:proofErr w:type="gramEnd"/>
      <w:r>
        <w:rPr>
          <w:rFonts w:ascii="MyriadPro-Regular" w:hAnsi="MyriadPro-Regular" w:cs="MyriadPro-Regular"/>
          <w:color w:val="000000"/>
          <w:sz w:val="23"/>
          <w:szCs w:val="23"/>
        </w:rPr>
        <w:t xml:space="preserve"> stesso ad altri di scoraggiamento.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È apatico e scoraggiato.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Manifesta disagio con aggressività e non rispetto delle regole.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  <w:r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  <w:t>Motivazione, interesse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È motivato ad apprendere.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Non appare motivato ad apprendere.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Mostra interesse verso tutte le attività proposte.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Mostra interesse solo in alcuni casi.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Non mostra alcun interesse.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Ha atteggiamenti di rifiuto/passività.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</w:pPr>
      <w:r>
        <w:rPr>
          <w:rFonts w:ascii="MyriadPro-BoldIt" w:hAnsi="MyriadPro-BoldIt" w:cs="MyriadPro-BoldIt"/>
          <w:b/>
          <w:bCs/>
          <w:i/>
          <w:iCs/>
          <w:color w:val="000000"/>
          <w:sz w:val="23"/>
          <w:szCs w:val="23"/>
        </w:rPr>
        <w:t>Atteggiamento verso lingua e cultura d’origine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Mantiene e sviluppa la L1 a casa e con i connazionali.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Fa riferimenti spontanei al proprio Paese d’origine e alla propria L1.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Fa riferimenti al proprio Paese d’origine e alla propria L1 solo se sollecitato.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MyriadPro-Regular" w:hAnsi="MyriadPro-Regular" w:cs="MyriadPro-Regular"/>
          <w:color w:val="000000"/>
          <w:sz w:val="23"/>
          <w:szCs w:val="23"/>
        </w:rPr>
        <w:t>Nei confronti del proprio Paese d’origine e della propria L1 esprime chiusura, difesa, vergogna...</w:t>
      </w:r>
    </w:p>
    <w:p w:rsidR="007A6342" w:rsidRDefault="007A6342" w:rsidP="007A63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3"/>
          <w:szCs w:val="23"/>
        </w:rPr>
      </w:pPr>
    </w:p>
    <w:sectPr w:rsidR="007A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n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ZapfDingbatsIT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42"/>
    <w:rsid w:val="007A6342"/>
    <w:rsid w:val="00A107B9"/>
    <w:rsid w:val="00A148FF"/>
    <w:rsid w:val="00A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316"/>
  <w15:chartTrackingRefBased/>
  <w15:docId w15:val="{B26CA612-6204-4D97-A06C-1BADC647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3</cp:revision>
  <dcterms:created xsi:type="dcterms:W3CDTF">2019-03-25T14:40:00Z</dcterms:created>
  <dcterms:modified xsi:type="dcterms:W3CDTF">2019-03-25T14:52:00Z</dcterms:modified>
</cp:coreProperties>
</file>